
<file path=[Content_Types].xml><?xml version="1.0" encoding="utf-8"?>
<Types xmlns="http://schemas.openxmlformats.org/package/2006/content-types">
  <Default Extension="rels" ContentType="application/vnd.openxmlformats-package.relationships+xml"/>
  <Default Extension="xml" ContentType="application/vnd.openxmlformats-officedocument.wordprocessingml.document.main+xml"/>
  <Default Extension="bin" ContentType="application/vnd.openxmlformats-officedocument.oleObject"/>
  <Override PartName="/word/numbering.xml" ContentType="application/vnd.openxmlformats-officedocument.wordprocessingml.numbering+xml"/>
  <Default Extension="wmf" ContentType="image/x-wmf"/>
  <Override PartName="/word/styles.xml" ContentType="application/vnd.openxmlformats-officedocument.wordprocessingml.styles+xml"/>
</Types>
</file>

<file path=_rels/.rels><?xml version="1.0"?><Relationships xmlns="http://schemas.openxmlformats.org/package/2006/relationships"><Relationship Target="word/document.xml" Id="pkgRId0" Type="http://schemas.openxmlformats.org/officeDocument/2006/relationships/officeDocument"/></Relationships>
</file>

<file path=word/document.xml><?xml version="1.0" encoding="utf-8"?>
<w:document xmlns:w="http://schemas.openxmlformats.org/wordprocessingml/2006/main">
  <w:body>
    <w:p>
      <w:pPr>
        <w:spacing w:before="100" w:after="100" w:line="240"/>
        <w:ind w:right="0" w:left="0" w:firstLine="0"/>
        <w:jc w:val="right"/>
        <w:rPr>
          <w:rFonts w:ascii="Times Nordic" w:hAnsi="Times Nordic" w:cs="Times Nordic" w:eastAsia="Times Nordic"/>
          <w:b/>
          <w:color w:val="000000"/>
          <w:spacing w:val="0"/>
          <w:position w:val="0"/>
          <w:sz w:val="22"/>
          <w:shd w:fill="auto" w:val="clear"/>
        </w:rPr>
      </w:pPr>
      <w:r>
        <w:rPr>
          <w:rFonts w:ascii="Times Nordic" w:hAnsi="Times Nordic" w:cs="Times Nordic" w:eastAsia="Times Nordic"/>
          <w:b/>
          <w:color w:val="000000"/>
          <w:spacing w:val="0"/>
          <w:position w:val="0"/>
          <w:sz w:val="22"/>
          <w:shd w:fill="auto" w:val="clear"/>
        </w:rPr>
        <w:t xml:space="preserve">N. 01875/2013 REG.PROV.CAU.</w:t>
      </w:r>
    </w:p>
    <w:p>
      <w:pPr>
        <w:spacing w:before="100" w:after="100" w:line="240"/>
        <w:ind w:right="0" w:left="0" w:firstLine="0"/>
        <w:jc w:val="right"/>
        <w:rPr>
          <w:rFonts w:ascii="Times Nordic" w:hAnsi="Times Nordic" w:cs="Times Nordic" w:eastAsia="Times Nordic"/>
          <w:b/>
          <w:color w:val="000000"/>
          <w:spacing w:val="0"/>
          <w:position w:val="0"/>
          <w:sz w:val="22"/>
          <w:shd w:fill="auto" w:val="clear"/>
        </w:rPr>
      </w:pPr>
      <w:r>
        <w:rPr>
          <w:rFonts w:ascii="Times Nordic" w:hAnsi="Times Nordic" w:cs="Times Nordic" w:eastAsia="Times Nordic"/>
          <w:b/>
          <w:color w:val="000000"/>
          <w:spacing w:val="0"/>
          <w:position w:val="0"/>
          <w:sz w:val="22"/>
          <w:shd w:fill="auto" w:val="clear"/>
        </w:rPr>
        <w:t xml:space="preserve">N. 02778/2013 REG.RIC.           </w:t>
      </w:r>
    </w:p>
    <w:p>
      <w:pPr>
        <w:spacing w:before="100" w:after="100" w:line="240"/>
        <w:ind w:right="0" w:left="0" w:firstLine="0"/>
        <w:jc w:val="center"/>
        <w:rPr>
          <w:rFonts w:ascii="Garamond" w:hAnsi="Garamond" w:cs="Garamond" w:eastAsia="Garamond"/>
          <w:b/>
          <w:color w:val="000000"/>
          <w:spacing w:val="150"/>
          <w:position w:val="0"/>
          <w:sz w:val="27"/>
          <w:shd w:fill="auto" w:val="clear"/>
        </w:rPr>
      </w:pPr>
      <w:r>
        <w:object w:dxaOrig="1093" w:dyaOrig="1247">
          <v:rect xmlns:o="urn:schemas-microsoft-com:office:office" xmlns:v="urn:schemas-microsoft-com:vml" id="rectole0000000000" style="width:54.650000pt;height:62.350000pt" o:preferrelative="t" o:ole="">
            <o:lock v:ext="edit"/>
            <v:imagedata xmlns:r="http://schemas.openxmlformats.org/officeDocument/2006/relationships" r:id="docRId1" o:title=""/>
          </v:rect>
          <o:OLEObject xmlns:r="http://schemas.openxmlformats.org/officeDocument/2006/relationships" xmlns:o="urn:schemas-microsoft-com:office:office" Type="Embed" ProgID="StaticMetafile" DrawAspect="Content" ObjectID="0000000000" ShapeID="rectole0000000000" r:id="docRId0"/>
        </w:object>
      </w:r>
    </w:p>
    <w:p>
      <w:pPr>
        <w:spacing w:before="100" w:after="100" w:line="240"/>
        <w:ind w:right="0" w:left="0" w:firstLine="0"/>
        <w:jc w:val="center"/>
        <w:rPr>
          <w:rFonts w:ascii="Garamond" w:hAnsi="Garamond" w:cs="Garamond" w:eastAsia="Garamond"/>
          <w:b/>
          <w:color w:val="000000"/>
          <w:spacing w:val="150"/>
          <w:position w:val="0"/>
          <w:sz w:val="27"/>
          <w:shd w:fill="auto" w:val="clear"/>
        </w:rPr>
      </w:pPr>
      <w:r>
        <w:rPr>
          <w:rFonts w:ascii="Garamond" w:hAnsi="Garamond" w:cs="Garamond" w:eastAsia="Garamond"/>
          <w:b/>
          <w:color w:val="000000"/>
          <w:spacing w:val="150"/>
          <w:position w:val="0"/>
          <w:sz w:val="27"/>
          <w:shd w:fill="auto" w:val="clear"/>
        </w:rPr>
        <w:t xml:space="preserve">REPUBBLICA ITALIANA</w:t>
      </w:r>
    </w:p>
    <w:p>
      <w:pPr>
        <w:spacing w:before="100" w:after="100" w:line="240"/>
        <w:ind w:right="0" w:left="0" w:firstLine="0"/>
        <w:jc w:val="center"/>
        <w:rPr>
          <w:rFonts w:ascii="Garamond" w:hAnsi="Garamond" w:cs="Garamond" w:eastAsia="Garamond"/>
          <w:b/>
          <w:color w:val="000000"/>
          <w:spacing w:val="0"/>
          <w:position w:val="0"/>
          <w:sz w:val="26"/>
          <w:shd w:fill="auto" w:val="clear"/>
        </w:rPr>
      </w:pPr>
      <w:r>
        <w:rPr>
          <w:rFonts w:ascii="Garamond" w:hAnsi="Garamond" w:cs="Garamond" w:eastAsia="Garamond"/>
          <w:b/>
          <w:color w:val="000000"/>
          <w:spacing w:val="0"/>
          <w:position w:val="0"/>
          <w:sz w:val="26"/>
          <w:shd w:fill="auto" w:val="clear"/>
        </w:rPr>
        <w:t xml:space="preserve">Il Tribunale Amministrativo Regionale per il Lazio</w:t>
      </w:r>
    </w:p>
    <w:p>
      <w:pPr>
        <w:spacing w:before="100" w:after="100" w:line="240"/>
        <w:ind w:right="0" w:left="0" w:firstLine="0"/>
        <w:jc w:val="center"/>
        <w:rPr>
          <w:rFonts w:ascii="Garamond" w:hAnsi="Garamond" w:cs="Garamond" w:eastAsia="Garamond"/>
          <w:b/>
          <w:color w:val="000000"/>
          <w:spacing w:val="0"/>
          <w:position w:val="0"/>
          <w:sz w:val="26"/>
          <w:shd w:fill="auto" w:val="clear"/>
        </w:rPr>
      </w:pPr>
      <w:r>
        <w:rPr>
          <w:rFonts w:ascii="Garamond" w:hAnsi="Garamond" w:cs="Garamond" w:eastAsia="Garamond"/>
          <w:b/>
          <w:color w:val="000000"/>
          <w:spacing w:val="0"/>
          <w:position w:val="0"/>
          <w:sz w:val="26"/>
          <w:shd w:fill="auto" w:val="clear"/>
        </w:rPr>
        <w:t xml:space="preserve">(Sezione Terza)</w:t>
      </w:r>
    </w:p>
    <w:p>
      <w:pPr>
        <w:spacing w:before="0" w:after="0" w:line="520"/>
        <w:ind w:right="0" w:left="0" w:firstLine="567"/>
        <w:jc w:val="left"/>
        <w:rPr>
          <w:rFonts w:ascii="Garamond" w:hAnsi="Garamond" w:cs="Garamond" w:eastAsia="Garamond"/>
          <w:color w:val="000000"/>
          <w:spacing w:val="0"/>
          <w:position w:val="0"/>
          <w:sz w:val="30"/>
          <w:shd w:fill="auto" w:val="clear"/>
        </w:rPr>
      </w:pPr>
      <w:r>
        <w:rPr>
          <w:rFonts w:ascii="Garamond" w:hAnsi="Garamond" w:cs="Garamond" w:eastAsia="Garamond"/>
          <w:color w:val="000000"/>
          <w:spacing w:val="0"/>
          <w:position w:val="0"/>
          <w:sz w:val="30"/>
          <w:shd w:fill="auto" w:val="clear"/>
        </w:rPr>
        <w:t xml:space="preserve">ha pronunciato la presente</w:t>
      </w:r>
    </w:p>
    <w:p>
      <w:pPr>
        <w:spacing w:before="100" w:after="100" w:line="240"/>
        <w:ind w:right="0" w:left="0" w:firstLine="0"/>
        <w:jc w:val="center"/>
        <w:rPr>
          <w:rFonts w:ascii="Garamond" w:hAnsi="Garamond" w:cs="Garamond" w:eastAsia="Garamond"/>
          <w:b/>
          <w:color w:val="000000"/>
          <w:spacing w:val="0"/>
          <w:position w:val="0"/>
          <w:sz w:val="26"/>
          <w:shd w:fill="auto" w:val="clear"/>
        </w:rPr>
      </w:pPr>
      <w:r>
        <w:rPr>
          <w:rFonts w:ascii="Garamond" w:hAnsi="Garamond" w:cs="Garamond" w:eastAsia="Garamond"/>
          <w:b/>
          <w:color w:val="000000"/>
          <w:spacing w:val="0"/>
          <w:position w:val="0"/>
          <w:sz w:val="26"/>
          <w:shd w:fill="auto" w:val="clear"/>
        </w:rPr>
        <w:t xml:space="preserve">ORDINANZA</w:t>
      </w:r>
    </w:p>
    <w:p>
      <w:pPr>
        <w:spacing w:before="0" w:after="0" w:line="520"/>
        <w:ind w:right="0" w:left="0" w:firstLine="0"/>
        <w:jc w:val="both"/>
        <w:rPr>
          <w:rFonts w:ascii="Garamond" w:hAnsi="Garamond" w:cs="Garamond" w:eastAsia="Garamond"/>
          <w:color w:val="000000"/>
          <w:spacing w:val="0"/>
          <w:position w:val="0"/>
          <w:sz w:val="30"/>
          <w:shd w:fill="auto" w:val="clear"/>
        </w:rPr>
      </w:pPr>
      <w:r>
        <w:rPr>
          <w:rFonts w:ascii="Garamond" w:hAnsi="Garamond" w:cs="Garamond" w:eastAsia="Garamond"/>
          <w:color w:val="000000"/>
          <w:spacing w:val="0"/>
          <w:position w:val="0"/>
          <w:sz w:val="30"/>
          <w:shd w:fill="auto" w:val="clear"/>
        </w:rPr>
        <w:t xml:space="preserve">sul ricorso numero di registro generale 2778 del 2013, proposto da:</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000000"/>
          <w:spacing w:val="0"/>
          <w:position w:val="0"/>
          <w:sz w:val="27"/>
          <w:shd w:fill="auto" w:val="clear"/>
        </w:rPr>
        <w:br/>
      </w:r>
    </w:p>
    <w:p>
      <w:pPr>
        <w:spacing w:before="0" w:after="0" w:line="520"/>
        <w:ind w:right="0" w:left="0" w:firstLine="0"/>
        <w:jc w:val="both"/>
        <w:rPr>
          <w:rFonts w:ascii="Garamond" w:hAnsi="Garamond" w:cs="Garamond" w:eastAsia="Garamond"/>
          <w:color w:val="000000"/>
          <w:spacing w:val="0"/>
          <w:position w:val="0"/>
          <w:sz w:val="30"/>
          <w:shd w:fill="auto" w:val="clear"/>
        </w:rPr>
      </w:pPr>
      <w:r>
        <w:rPr>
          <w:rFonts w:ascii="Garamond" w:hAnsi="Garamond" w:cs="Garamond" w:eastAsia="Garamond"/>
          <w:color w:val="000000"/>
          <w:spacing w:val="0"/>
          <w:position w:val="0"/>
          <w:sz w:val="30"/>
          <w:shd w:fill="000000" w:val="clear"/>
        </w:rPr>
        <w:t xml:space="preserve">Claudio Alberti, Alma Marcella, Antonazzi Marco, Antonelli Luca, Antonuccio Claudio, Arno' Antonio, Asinari di Gresje Casasca Gloria Cisa (Cisa Asinari di Gresy e Casasco Gloria), Avanzato Maria Alessandra, Baggio Giorgia, Balestra Gloria, Beccani Chiara, Biscarini Simona, Bove Francesco, Cappellano Salvatore, Capuano Ester, Carniani Paolo, Carrozza Gianluigi, Cascio Lorenzo, Cenzone Giulia, Cesario Giuseppe, Cicchetti Stefano, Cosenza Claudio, Crescimanni Valentina, De Angelis Riccardo, Di Giacomo Russo Roberta, Di piazza Giorgia, Farina Sara, Federici Francesco, Federici Maria, Filieri Vittorio, Finazzi Andrea, Freni Jose', Gatto Emiliano, Gavin Roberto Emilio, Giurdanella Martina, Grandinetti Francesca, Grimaccia Luna, Hasani Azra, Lamberti Rita, Lembo Alessio, Leone Claudia, Marelli Giulia, Massara Manzo Silvia, Mazzuca Irene, Moscato Antonio, Omnis Patrizia, Pacini Marzio, Palermo Alessia, Paletta Domenico, Pane Bruno, Pantaleo Vincenzo, Panunzi Ilaria, Paolini Mattia, Pasquadibisceglie Silvia, Peverini Marco, Piras Alessandro, Preiano' Martina, Puglia Jole Manuela, Quarantiello Marilisa, Querci Emanuela, Righi Emiliano, Rocca Federica, Rollo Nicoletta, Saladino Roberto, Saullo Mario, Socci Alessandro, Spampinato Luca, Taiana Giuseppe, Trovato Marco, Ugaz Joseph Bryan Angel, Gugliotta Alessio Antonino, Grasso Marila,</w:t>
      </w:r>
      <w:r>
        <w:rPr>
          <w:rFonts w:ascii="Garamond" w:hAnsi="Garamond" w:cs="Garamond" w:eastAsia="Garamond"/>
          <w:color w:val="000000"/>
          <w:spacing w:val="0"/>
          <w:position w:val="0"/>
          <w:sz w:val="30"/>
          <w:shd w:fill="auto" w:val="clear"/>
        </w:rPr>
        <w:t xml:space="preserve"> rappresentati e difesi dagli avv. Michele Bonetti, Santi Delia, con domicilio eletto presso Michele Bonetti in Roma, via Tommaso D'Aquino 47; </w:t>
      </w:r>
      <w:r>
        <w:rPr>
          <w:rFonts w:ascii="Garamond" w:hAnsi="Garamond" w:cs="Garamond" w:eastAsia="Garamond"/>
          <w:color w:val="000000"/>
          <w:spacing w:val="0"/>
          <w:position w:val="0"/>
          <w:sz w:val="30"/>
          <w:shd w:fill="000000" w:val="clear"/>
        </w:rPr>
        <w:t xml:space="preserve">D'Amico Giuseppe</w:t>
      </w:r>
      <w:r>
        <w:rPr>
          <w:rFonts w:ascii="Garamond" w:hAnsi="Garamond" w:cs="Garamond" w:eastAsia="Garamond"/>
          <w:color w:val="000000"/>
          <w:spacing w:val="0"/>
          <w:position w:val="0"/>
          <w:sz w:val="30"/>
          <w:shd w:fill="auto" w:val="clear"/>
        </w:rPr>
        <w:t xml:space="preserve">, rappresentato e difeso dagli avv. Santi Delia, Michele Bonetti, con domicilio eletto presso Michele Bonetti in Roma, via Tommaso D'Aquino 47;</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000000"/>
          <w:spacing w:val="0"/>
          <w:position w:val="0"/>
          <w:sz w:val="27"/>
          <w:shd w:fill="auto" w:val="clear"/>
        </w:rPr>
        <w:br/>
      </w:r>
    </w:p>
    <w:p>
      <w:pPr>
        <w:spacing w:before="0" w:after="0" w:line="520"/>
        <w:ind w:right="0" w:left="0" w:firstLine="0"/>
        <w:jc w:val="center"/>
        <w:rPr>
          <w:rFonts w:ascii="Garamond" w:hAnsi="Garamond" w:cs="Garamond" w:eastAsia="Garamond"/>
          <w:b/>
          <w:i/>
          <w:color w:val="000000"/>
          <w:spacing w:val="0"/>
          <w:position w:val="0"/>
          <w:sz w:val="30"/>
          <w:shd w:fill="auto" w:val="clear"/>
        </w:rPr>
      </w:pPr>
      <w:r>
        <w:rPr>
          <w:rFonts w:ascii="Garamond" w:hAnsi="Garamond" w:cs="Garamond" w:eastAsia="Garamond"/>
          <w:b/>
          <w:i/>
          <w:color w:val="000000"/>
          <w:spacing w:val="0"/>
          <w:position w:val="0"/>
          <w:sz w:val="30"/>
          <w:shd w:fill="auto" w:val="clear"/>
        </w:rPr>
        <w:t xml:space="preserve">contro</w:t>
      </w:r>
    </w:p>
    <w:p>
      <w:pPr>
        <w:spacing w:before="0" w:after="0" w:line="520"/>
        <w:ind w:right="0" w:left="0" w:firstLine="0"/>
        <w:jc w:val="both"/>
        <w:rPr>
          <w:rFonts w:ascii="Garamond" w:hAnsi="Garamond" w:cs="Garamond" w:eastAsia="Garamond"/>
          <w:color w:val="000000"/>
          <w:spacing w:val="0"/>
          <w:position w:val="0"/>
          <w:sz w:val="30"/>
          <w:shd w:fill="auto" w:val="clear"/>
        </w:rPr>
      </w:pPr>
      <w:r>
        <w:rPr>
          <w:rFonts w:ascii="Garamond" w:hAnsi="Garamond" w:cs="Garamond" w:eastAsia="Garamond"/>
          <w:color w:val="000000"/>
          <w:spacing w:val="0"/>
          <w:position w:val="0"/>
          <w:sz w:val="30"/>
          <w:shd w:fill="auto" w:val="clear"/>
        </w:rPr>
        <w:t xml:space="preserve">Ministero dell'Istruzione, dell'Universita' e della Ricerca, Universita' degli Studi di Milano, Universita' degli Studi di Salerno, Universita' degli Studi dell'Insubria Varese, rappresentati e difesi per legge dall'Avvocatura Generale, domiciliata in Roma, via dei Portoghesi, 12; Universita' degli Studi di Bari Aldo Moro, Universita' degli Studi di Bologna Alma Studiorum, Universita' degli Studi di Brescia, Universita' degli Studi Cagliari, Universita' degli Studi Catania, Universita' degli Studi Magna Graecia di Catanzaro, Universita' degli Studi Gabriele D'Annunzio di Chieti e Pescara, Universita' degli Studi Firenze, Universita' degli Studi di L'Aquila, Universita' degli Studi di Messina, Universita' degli Studi di Modena e Reggio Emilia, Universita' degli Studi di Napoli Federico Ii, Seconda Universita' degli Studi di Napoli, Universita' degli Studi di Padova, Universita' degli Studi di Palermo, Universita' degli Studi di Perugia, Universita' degli Studi di Pisa, Universita' Politecnica delle Marche, Universita' degli Studi di Roma La Sapienza, Universita' degli Studi di Roma Tor Vergata, Universita' degli Studi di Sassari, Universita' degli Studi del Molise, Universita' degli Studi di Siena, Cineca; </w:t>
      </w:r>
    </w:p>
    <w:p>
      <w:pPr>
        <w:spacing w:before="0" w:after="0" w:line="520"/>
        <w:ind w:right="0" w:left="0" w:firstLine="0"/>
        <w:jc w:val="center"/>
        <w:rPr>
          <w:rFonts w:ascii="Garamond" w:hAnsi="Garamond" w:cs="Garamond" w:eastAsia="Garamond"/>
          <w:b/>
          <w:i/>
          <w:color w:val="000000"/>
          <w:spacing w:val="0"/>
          <w:position w:val="0"/>
          <w:sz w:val="30"/>
          <w:shd w:fill="auto" w:val="clear"/>
        </w:rPr>
      </w:pPr>
      <w:r>
        <w:rPr>
          <w:rFonts w:ascii="Garamond" w:hAnsi="Garamond" w:cs="Garamond" w:eastAsia="Garamond"/>
          <w:b/>
          <w:i/>
          <w:color w:val="000000"/>
          <w:spacing w:val="0"/>
          <w:position w:val="0"/>
          <w:sz w:val="30"/>
          <w:shd w:fill="auto" w:val="clear"/>
        </w:rPr>
        <w:t xml:space="preserve">nei confronti di</w:t>
      </w:r>
    </w:p>
    <w:p>
      <w:pPr>
        <w:spacing w:before="0" w:after="0" w:line="520"/>
        <w:ind w:right="0" w:left="0" w:firstLine="0"/>
        <w:jc w:val="both"/>
        <w:rPr>
          <w:rFonts w:ascii="Garamond" w:hAnsi="Garamond" w:cs="Garamond" w:eastAsia="Garamond"/>
          <w:color w:val="000000"/>
          <w:spacing w:val="0"/>
          <w:position w:val="0"/>
          <w:sz w:val="30"/>
          <w:shd w:fill="auto" w:val="clear"/>
        </w:rPr>
      </w:pPr>
      <w:r>
        <w:rPr>
          <w:rFonts w:ascii="Garamond" w:hAnsi="Garamond" w:cs="Garamond" w:eastAsia="Garamond"/>
          <w:color w:val="000000"/>
          <w:spacing w:val="0"/>
          <w:position w:val="0"/>
          <w:sz w:val="30"/>
          <w:shd w:fill="000000" w:val="clear"/>
        </w:rPr>
        <w:t xml:space="preserve">Radi Siham, Mastronardi Manuela, Falzone Martina, Sanzo Valentina, Cerritelli Pietro, Amato Raffaele, Bertagna Giulia, Otrtoni Giacomo, Chiusaroli Tamara, Belnome Giulia, Sirressi Sara, Tregnaghi Claudia, Baccelli Cesare, Sias Giuseppe, Lapi Maria, Sottile Giulia</w:t>
      </w:r>
      <w:r>
        <w:rPr>
          <w:rFonts w:ascii="Garamond" w:hAnsi="Garamond" w:cs="Garamond" w:eastAsia="Garamond"/>
          <w:color w:val="000000"/>
          <w:spacing w:val="0"/>
          <w:position w:val="0"/>
          <w:sz w:val="30"/>
          <w:shd w:fill="auto" w:val="clear"/>
        </w:rPr>
        <w:t xml:space="preserve">; </w:t>
      </w:r>
    </w:p>
    <w:p>
      <w:pPr>
        <w:spacing w:before="0" w:after="0" w:line="520"/>
        <w:ind w:right="0" w:left="0" w:firstLine="0"/>
        <w:jc w:val="center"/>
        <w:rPr>
          <w:rFonts w:ascii="Garamond" w:hAnsi="Garamond" w:cs="Garamond" w:eastAsia="Garamond"/>
          <w:b/>
          <w:i/>
          <w:color w:val="000000"/>
          <w:spacing w:val="0"/>
          <w:position w:val="0"/>
          <w:sz w:val="30"/>
          <w:shd w:fill="auto" w:val="clear"/>
        </w:rPr>
      </w:pPr>
      <w:r>
        <w:rPr>
          <w:rFonts w:ascii="Garamond" w:hAnsi="Garamond" w:cs="Garamond" w:eastAsia="Garamond"/>
          <w:b/>
          <w:i/>
          <w:color w:val="000000"/>
          <w:spacing w:val="0"/>
          <w:position w:val="0"/>
          <w:sz w:val="30"/>
          <w:shd w:fill="auto" w:val="clear"/>
        </w:rPr>
        <w:t xml:space="preserve">per l'annullamento, previa sospensione dell'efficacia,</w:t>
      </w:r>
    </w:p>
    <w:p>
      <w:pPr>
        <w:spacing w:before="0" w:after="0" w:line="520"/>
        <w:ind w:right="0" w:left="0" w:firstLine="0"/>
        <w:jc w:val="both"/>
        <w:rPr>
          <w:rFonts w:ascii="Garamond" w:hAnsi="Garamond" w:cs="Garamond" w:eastAsia="Garamond"/>
          <w:color w:val="000000"/>
          <w:spacing w:val="0"/>
          <w:position w:val="0"/>
          <w:sz w:val="30"/>
          <w:shd w:fill="auto" w:val="clear"/>
        </w:rPr>
      </w:pPr>
      <w:r>
        <w:rPr>
          <w:rFonts w:ascii="Garamond" w:hAnsi="Garamond" w:cs="Garamond" w:eastAsia="Garamond"/>
          <w:color w:val="000000"/>
          <w:spacing w:val="0"/>
          <w:position w:val="0"/>
          <w:sz w:val="30"/>
          <w:shd w:fill="auto" w:val="clear"/>
        </w:rPr>
        <w:t xml:space="preserve">del dm n. 197/12: definizione dei posti disponibili per le immatricolazioni al corso di laurea magistrale in medicina e chirurgia a.a. 2012/2013 - atto di costituzione a seguito di ricorso straordinario al capo dello stato - risarcimento danni.</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000000"/>
          <w:spacing w:val="0"/>
          <w:position w:val="0"/>
          <w:sz w:val="27"/>
          <w:shd w:fill="auto" w:val="clear"/>
        </w:rPr>
        <w:br/>
      </w:r>
    </w:p>
    <w:p>
      <w:pPr>
        <w:spacing w:before="0" w:after="0" w:line="520"/>
        <w:ind w:right="0" w:left="0" w:firstLine="0"/>
        <w:jc w:val="both"/>
        <w:rPr>
          <w:rFonts w:ascii="Garamond" w:hAnsi="Garamond" w:cs="Garamond" w:eastAsia="Garamond"/>
          <w:color w:val="000000"/>
          <w:spacing w:val="0"/>
          <w:position w:val="0"/>
          <w:sz w:val="30"/>
          <w:shd w:fill="auto" w:val="clear"/>
        </w:rPr>
      </w:pPr>
      <w:r>
        <w:rPr>
          <w:rFonts w:ascii="Garamond" w:hAnsi="Garamond" w:cs="Garamond" w:eastAsia="Garamond"/>
          <w:color w:val="000000"/>
          <w:spacing w:val="0"/>
          <w:position w:val="0"/>
          <w:sz w:val="30"/>
          <w:shd w:fill="auto" w:val="clear"/>
        </w:rPr>
        <w:t xml:space="preserve">Visti il ricorso e i relativi allegati;</w:t>
      </w:r>
    </w:p>
    <w:p>
      <w:pPr>
        <w:spacing w:before="0" w:after="0" w:line="520"/>
        <w:ind w:right="0" w:left="0" w:firstLine="0"/>
        <w:jc w:val="both"/>
        <w:rPr>
          <w:rFonts w:ascii="Garamond" w:hAnsi="Garamond" w:cs="Garamond" w:eastAsia="Garamond"/>
          <w:color w:val="000000"/>
          <w:spacing w:val="0"/>
          <w:position w:val="0"/>
          <w:sz w:val="30"/>
          <w:shd w:fill="auto" w:val="clear"/>
        </w:rPr>
      </w:pPr>
      <w:r>
        <w:rPr>
          <w:rFonts w:ascii="Garamond" w:hAnsi="Garamond" w:cs="Garamond" w:eastAsia="Garamond"/>
          <w:color w:val="000000"/>
          <w:spacing w:val="0"/>
          <w:position w:val="0"/>
          <w:sz w:val="30"/>
          <w:shd w:fill="auto" w:val="clear"/>
        </w:rPr>
        <w:t xml:space="preserve">Visti gli atti di costituzione in giudizio di Ministero dell'Istruzione, dell'Universita' e della Ricerca e di Universita' degli Studi di Milano e di Universita' degli Studi di Salerno e di Universita' degli Studi dell'Insubria Varese;</w:t>
      </w:r>
    </w:p>
    <w:p>
      <w:pPr>
        <w:spacing w:before="0" w:after="0" w:line="520"/>
        <w:ind w:right="0" w:left="0" w:firstLine="0"/>
        <w:jc w:val="both"/>
        <w:rPr>
          <w:rFonts w:ascii="Garamond" w:hAnsi="Garamond" w:cs="Garamond" w:eastAsia="Garamond"/>
          <w:color w:val="000000"/>
          <w:spacing w:val="0"/>
          <w:position w:val="0"/>
          <w:sz w:val="30"/>
          <w:shd w:fill="auto" w:val="clear"/>
        </w:rPr>
      </w:pPr>
      <w:r>
        <w:rPr>
          <w:rFonts w:ascii="Garamond" w:hAnsi="Garamond" w:cs="Garamond" w:eastAsia="Garamond"/>
          <w:color w:val="000000"/>
          <w:spacing w:val="0"/>
          <w:position w:val="0"/>
          <w:sz w:val="30"/>
          <w:shd w:fill="auto" w:val="clear"/>
        </w:rPr>
        <w:t xml:space="preserve">Vista la domanda di sospensione dell'esecuzione del provvedimento impugnato, presentata in via incidentale dalla parte ricorrente;</w:t>
      </w:r>
    </w:p>
    <w:p>
      <w:pPr>
        <w:spacing w:before="0" w:after="0" w:line="520"/>
        <w:ind w:right="0" w:left="0" w:firstLine="0"/>
        <w:jc w:val="both"/>
        <w:rPr>
          <w:rFonts w:ascii="Garamond" w:hAnsi="Garamond" w:cs="Garamond" w:eastAsia="Garamond"/>
          <w:color w:val="000000"/>
          <w:spacing w:val="0"/>
          <w:position w:val="0"/>
          <w:sz w:val="30"/>
          <w:shd w:fill="auto" w:val="clear"/>
        </w:rPr>
      </w:pPr>
      <w:r>
        <w:rPr>
          <w:rFonts w:ascii="Garamond" w:hAnsi="Garamond" w:cs="Garamond" w:eastAsia="Garamond"/>
          <w:color w:val="000000"/>
          <w:spacing w:val="0"/>
          <w:position w:val="0"/>
          <w:sz w:val="30"/>
          <w:shd w:fill="auto" w:val="clear"/>
        </w:rPr>
        <w:t xml:space="preserve">Visto l'art. 55 cod. proc. amm.;</w:t>
      </w:r>
    </w:p>
    <w:p>
      <w:pPr>
        <w:spacing w:before="0" w:after="0" w:line="520"/>
        <w:ind w:right="0" w:left="0" w:firstLine="0"/>
        <w:jc w:val="both"/>
        <w:rPr>
          <w:rFonts w:ascii="Garamond" w:hAnsi="Garamond" w:cs="Garamond" w:eastAsia="Garamond"/>
          <w:color w:val="000000"/>
          <w:spacing w:val="0"/>
          <w:position w:val="0"/>
          <w:sz w:val="30"/>
          <w:shd w:fill="auto" w:val="clear"/>
        </w:rPr>
      </w:pPr>
      <w:r>
        <w:rPr>
          <w:rFonts w:ascii="Garamond" w:hAnsi="Garamond" w:cs="Garamond" w:eastAsia="Garamond"/>
          <w:color w:val="000000"/>
          <w:spacing w:val="0"/>
          <w:position w:val="0"/>
          <w:sz w:val="30"/>
          <w:shd w:fill="auto" w:val="clear"/>
        </w:rPr>
        <w:t xml:space="preserve">Visti tutti gli atti della causa;</w:t>
      </w:r>
    </w:p>
    <w:p>
      <w:pPr>
        <w:spacing w:before="0" w:after="0" w:line="520"/>
        <w:ind w:right="0" w:left="0" w:firstLine="0"/>
        <w:jc w:val="both"/>
        <w:rPr>
          <w:rFonts w:ascii="Garamond" w:hAnsi="Garamond" w:cs="Garamond" w:eastAsia="Garamond"/>
          <w:color w:val="000000"/>
          <w:spacing w:val="0"/>
          <w:position w:val="0"/>
          <w:sz w:val="30"/>
          <w:shd w:fill="auto" w:val="clear"/>
        </w:rPr>
      </w:pPr>
      <w:r>
        <w:rPr>
          <w:rFonts w:ascii="Garamond" w:hAnsi="Garamond" w:cs="Garamond" w:eastAsia="Garamond"/>
          <w:color w:val="000000"/>
          <w:spacing w:val="0"/>
          <w:position w:val="0"/>
          <w:sz w:val="30"/>
          <w:shd w:fill="auto" w:val="clear"/>
        </w:rPr>
        <w:t xml:space="preserve">Ritenuta la propria giurisdizione e competenza;</w:t>
      </w:r>
    </w:p>
    <w:p>
      <w:pPr>
        <w:spacing w:before="0" w:after="0" w:line="520"/>
        <w:ind w:right="0" w:left="0" w:firstLine="0"/>
        <w:jc w:val="both"/>
        <w:rPr>
          <w:rFonts w:ascii="Garamond" w:hAnsi="Garamond" w:cs="Garamond" w:eastAsia="Garamond"/>
          <w:color w:val="000000"/>
          <w:spacing w:val="0"/>
          <w:position w:val="0"/>
          <w:sz w:val="30"/>
          <w:shd w:fill="auto" w:val="clear"/>
        </w:rPr>
      </w:pPr>
      <w:r>
        <w:rPr>
          <w:rFonts w:ascii="Garamond" w:hAnsi="Garamond" w:cs="Garamond" w:eastAsia="Garamond"/>
          <w:color w:val="000000"/>
          <w:spacing w:val="0"/>
          <w:position w:val="0"/>
          <w:sz w:val="30"/>
          <w:shd w:fill="auto" w:val="clear"/>
        </w:rPr>
        <w:t xml:space="preserve">Relatore nella camera di consiglio del giorno 8 maggio 2013 il dott. Maria Grazia Vivarelli e uditi per le parti i difensori come specificato nel verbale;</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000000"/>
          <w:spacing w:val="0"/>
          <w:position w:val="0"/>
          <w:sz w:val="27"/>
          <w:shd w:fill="auto" w:val="clear"/>
        </w:rPr>
        <w:br/>
      </w:r>
    </w:p>
    <w:p>
      <w:pPr>
        <w:spacing w:before="0" w:after="0" w:line="520"/>
        <w:ind w:right="0" w:left="0" w:firstLine="0"/>
        <w:jc w:val="both"/>
        <w:rPr>
          <w:rFonts w:ascii="Garamond" w:hAnsi="Garamond" w:cs="Garamond" w:eastAsia="Garamond"/>
          <w:color w:val="000000"/>
          <w:spacing w:val="0"/>
          <w:position w:val="0"/>
          <w:sz w:val="30"/>
          <w:shd w:fill="auto" w:val="clear"/>
        </w:rPr>
      </w:pPr>
      <w:r>
        <w:rPr>
          <w:rFonts w:ascii="Garamond" w:hAnsi="Garamond" w:cs="Garamond" w:eastAsia="Garamond"/>
          <w:color w:val="000000"/>
          <w:spacing w:val="0"/>
          <w:position w:val="0"/>
          <w:sz w:val="30"/>
          <w:shd w:fill="auto" w:val="clear"/>
        </w:rPr>
        <w:t xml:space="preserve">Considerato che il difensore di parte ricorrente, nella camera di consiglio odierna, così come verbalizzato, insiste per l’accoglimento della sospensiva limitatamente a soli 4 ricorrenti, ossia per Claudio Alberti (Università di Firenze), Luca Antonelli (Università di Brescia), Chiara Beccani (Università di Pisa) e Roberto Saladino (Università Tor Vergata);</w:t>
      </w:r>
    </w:p>
    <w:p>
      <w:pPr>
        <w:spacing w:before="0" w:after="0" w:line="520"/>
        <w:ind w:right="0" w:left="0" w:firstLine="0"/>
        <w:jc w:val="both"/>
        <w:rPr>
          <w:rFonts w:ascii="Garamond" w:hAnsi="Garamond" w:cs="Garamond" w:eastAsia="Garamond"/>
          <w:color w:val="000000"/>
          <w:spacing w:val="0"/>
          <w:position w:val="0"/>
          <w:sz w:val="30"/>
          <w:shd w:fill="auto" w:val="clear"/>
        </w:rPr>
      </w:pPr>
      <w:r>
        <w:rPr>
          <w:rFonts w:ascii="Garamond" w:hAnsi="Garamond" w:cs="Garamond" w:eastAsia="Garamond"/>
          <w:color w:val="000000"/>
          <w:spacing w:val="0"/>
          <w:position w:val="0"/>
          <w:sz w:val="30"/>
          <w:shd w:fill="auto" w:val="clear"/>
        </w:rPr>
        <w:t xml:space="preserve">Considerato che detti ricorrenti hanno tutti ottenuto un punteggio maggiore di 35,50, punteggio che corrisponde a quello conseguito dall’ultimo soggetto, a livello nazionale, collocatosi in posizione utile per l’immatricolazione al corso di laurea;</w:t>
      </w:r>
    </w:p>
    <w:p>
      <w:pPr>
        <w:spacing w:before="0" w:after="0" w:line="520"/>
        <w:ind w:right="0" w:left="0" w:firstLine="0"/>
        <w:jc w:val="both"/>
        <w:rPr>
          <w:rFonts w:ascii="Garamond" w:hAnsi="Garamond" w:cs="Garamond" w:eastAsia="Garamond"/>
          <w:color w:val="000000"/>
          <w:spacing w:val="0"/>
          <w:position w:val="0"/>
          <w:sz w:val="30"/>
          <w:shd w:fill="auto" w:val="clear"/>
        </w:rPr>
      </w:pPr>
      <w:r>
        <w:rPr>
          <w:rFonts w:ascii="Garamond" w:hAnsi="Garamond" w:cs="Garamond" w:eastAsia="Garamond"/>
          <w:color w:val="000000"/>
          <w:spacing w:val="0"/>
          <w:position w:val="0"/>
          <w:sz w:val="30"/>
          <w:shd w:fill="auto" w:val="clear"/>
        </w:rPr>
        <w:t xml:space="preserve">Ritenuto, in base alla domanda formulata dalla parte ricorrente, di ribadire il contenuto dell’ordinanza della Sezione n. 4763/2012 che ha ritenuto, in fase cautelare, sufficientemente fondato il motivo relativo alla mancata graduazione dei candidati a livello nazionale presenti, anche alla luce della ordinanza n. 3541 del 18 giugno 2012 del Consiglio di Stato, che ha a sua vola ritenuto non manifestamente infondata la relativa questione di costituzionalità;</w:t>
      </w:r>
    </w:p>
    <w:p>
      <w:pPr>
        <w:spacing w:before="0" w:after="0" w:line="520"/>
        <w:ind w:right="0" w:left="0" w:firstLine="0"/>
        <w:jc w:val="both"/>
        <w:rPr>
          <w:rFonts w:ascii="Garamond" w:hAnsi="Garamond" w:cs="Garamond" w:eastAsia="Garamond"/>
          <w:color w:val="000000"/>
          <w:spacing w:val="0"/>
          <w:position w:val="0"/>
          <w:sz w:val="30"/>
          <w:shd w:fill="auto" w:val="clear"/>
        </w:rPr>
      </w:pPr>
      <w:r>
        <w:rPr>
          <w:rFonts w:ascii="Garamond" w:hAnsi="Garamond" w:cs="Garamond" w:eastAsia="Garamond"/>
          <w:color w:val="000000"/>
          <w:spacing w:val="0"/>
          <w:position w:val="0"/>
          <w:sz w:val="30"/>
          <w:shd w:fill="auto" w:val="clear"/>
        </w:rPr>
        <w:t xml:space="preserve">Ritenuto necessario, come allo stesso modo disposto nella citata ordinanza n. 4763/2012, che parte ricorrente integri il contraddittorio nei confronti di tutte le università coinvolte nella procedura nonché di tutti i soggetti inseriti nelle singole graduatorie formate all’esito del concorso (limitatamente alle prime, si autorizza il ricorso alla notificazione a mezzo posta elettronica certificata mentre limitatamente ai secondi, stante il loro numero, si può autorizzare la notifica a mezzo pubblici proclami senza indicazione nominativa degli interessati ex art. 150 c.p.c.);</w:t>
      </w:r>
    </w:p>
    <w:p>
      <w:pPr>
        <w:spacing w:before="0" w:after="0" w:line="520"/>
        <w:ind w:right="0" w:left="0" w:firstLine="0"/>
        <w:jc w:val="both"/>
        <w:rPr>
          <w:rFonts w:ascii="Garamond" w:hAnsi="Garamond" w:cs="Garamond" w:eastAsia="Garamond"/>
          <w:color w:val="000000"/>
          <w:spacing w:val="0"/>
          <w:position w:val="0"/>
          <w:sz w:val="30"/>
          <w:shd w:fill="auto" w:val="clear"/>
        </w:rPr>
      </w:pPr>
      <w:r>
        <w:rPr>
          <w:rFonts w:ascii="Garamond" w:hAnsi="Garamond" w:cs="Garamond" w:eastAsia="Garamond"/>
          <w:color w:val="000000"/>
          <w:spacing w:val="0"/>
          <w:position w:val="0"/>
          <w:sz w:val="30"/>
          <w:shd w:fill="auto" w:val="clear"/>
        </w:rPr>
        <w:t xml:space="preserve">Ritenuto per quanto precede che possa accogliersi la domanda di tutela cautelare nei confronti di Claudio Alberti (Università di Firenze), Luca Antonelli (Università di Brescia), Chiara Beccani (Università di Pisa) e Roberto Saladino (Università Tor Vergata) sino alla definizione del giudizio da parte della Corte Costituzionale;</w:t>
      </w:r>
    </w:p>
    <w:p>
      <w:pPr>
        <w:spacing w:before="0" w:after="0" w:line="520"/>
        <w:ind w:right="0" w:left="0" w:firstLine="0"/>
        <w:jc w:val="both"/>
        <w:rPr>
          <w:rFonts w:ascii="Garamond" w:hAnsi="Garamond" w:cs="Garamond" w:eastAsia="Garamond"/>
          <w:color w:val="000000"/>
          <w:spacing w:val="0"/>
          <w:position w:val="0"/>
          <w:sz w:val="30"/>
          <w:shd w:fill="auto" w:val="clear"/>
        </w:rPr>
      </w:pPr>
      <w:r>
        <w:rPr>
          <w:rFonts w:ascii="Garamond" w:hAnsi="Garamond" w:cs="Garamond" w:eastAsia="Garamond"/>
          <w:color w:val="000000"/>
          <w:spacing w:val="0"/>
          <w:position w:val="0"/>
          <w:sz w:val="30"/>
          <w:shd w:fill="auto" w:val="clear"/>
        </w:rPr>
        <w:t xml:space="preserve">Ritenuto, in ordine alle spese, che sussistano giusti motivi per disporne la compensazione tra le parti;</w:t>
      </w:r>
    </w:p>
    <w:p>
      <w:pPr>
        <w:spacing w:before="0" w:after="0" w:line="540"/>
        <w:ind w:right="0" w:left="0" w:firstLine="0"/>
        <w:jc w:val="center"/>
        <w:rPr>
          <w:rFonts w:ascii="Garamond" w:hAnsi="Garamond" w:cs="Garamond" w:eastAsia="Garamond"/>
          <w:color w:val="000000"/>
          <w:spacing w:val="0"/>
          <w:position w:val="0"/>
          <w:sz w:val="30"/>
          <w:shd w:fill="auto" w:val="clear"/>
        </w:rPr>
      </w:pPr>
      <w:r>
        <w:rPr>
          <w:rFonts w:ascii="Garamond" w:hAnsi="Garamond" w:cs="Garamond" w:eastAsia="Garamond"/>
          <w:color w:val="000000"/>
          <w:spacing w:val="0"/>
          <w:position w:val="0"/>
          <w:sz w:val="30"/>
          <w:shd w:fill="auto" w:val="clear"/>
        </w:rPr>
        <w:t xml:space="preserve">P.Q.M.</w:t>
      </w:r>
    </w:p>
    <w:p>
      <w:pPr>
        <w:spacing w:before="0" w:after="0" w:line="520"/>
        <w:ind w:right="0" w:left="0" w:firstLine="0"/>
        <w:jc w:val="both"/>
        <w:rPr>
          <w:rFonts w:ascii="Garamond" w:hAnsi="Garamond" w:cs="Garamond" w:eastAsia="Garamond"/>
          <w:color w:val="000000"/>
          <w:spacing w:val="0"/>
          <w:position w:val="0"/>
          <w:sz w:val="30"/>
          <w:shd w:fill="auto" w:val="clear"/>
        </w:rPr>
      </w:pPr>
      <w:r>
        <w:rPr>
          <w:rFonts w:ascii="Garamond" w:hAnsi="Garamond" w:cs="Garamond" w:eastAsia="Garamond"/>
          <w:color w:val="000000"/>
          <w:spacing w:val="0"/>
          <w:position w:val="0"/>
          <w:sz w:val="30"/>
          <w:shd w:fill="auto" w:val="clear"/>
        </w:rPr>
        <w:t xml:space="preserve">Il Tribunale Amministrativo Regionale per il Lazio (Sezione Terza) ordina a parte ricorrente di integrare il contraddittorio con le modalità indicate in premessa, depositando in segreteria prova dell’esecuzione dell’incombente nel termine perentorio di giorni sessanta dalla comunicazione della presente ordinanza.</w:t>
      </w:r>
    </w:p>
    <w:p>
      <w:pPr>
        <w:spacing w:before="0" w:after="0" w:line="520"/>
        <w:ind w:right="0" w:left="0" w:firstLine="0"/>
        <w:jc w:val="both"/>
        <w:rPr>
          <w:rFonts w:ascii="Garamond" w:hAnsi="Garamond" w:cs="Garamond" w:eastAsia="Garamond"/>
          <w:color w:val="000000"/>
          <w:spacing w:val="0"/>
          <w:position w:val="0"/>
          <w:sz w:val="30"/>
          <w:shd w:fill="auto" w:val="clear"/>
        </w:rPr>
      </w:pPr>
      <w:r>
        <w:rPr>
          <w:rFonts w:ascii="Garamond" w:hAnsi="Garamond" w:cs="Garamond" w:eastAsia="Garamond"/>
          <w:color w:val="000000"/>
          <w:spacing w:val="0"/>
          <w:position w:val="0"/>
          <w:sz w:val="30"/>
          <w:shd w:fill="auto" w:val="clear"/>
        </w:rPr>
        <w:t xml:space="preserve">Ammette con riserva e in soprannumero i ricorrenti Claudio Alberti (Università di Firenze), Luca Antonelli (Università di Brescia), Chiara Beccani (Università di Pisa) e Roberto Saladino (Università Tor Vergata) presso la facoltà dell’Università dagli stessi individuata come prima scelta.</w:t>
      </w:r>
    </w:p>
    <w:p>
      <w:pPr>
        <w:spacing w:before="0" w:after="0" w:line="520"/>
        <w:ind w:right="0" w:left="0" w:firstLine="0"/>
        <w:jc w:val="both"/>
        <w:rPr>
          <w:rFonts w:ascii="Garamond" w:hAnsi="Garamond" w:cs="Garamond" w:eastAsia="Garamond"/>
          <w:color w:val="000000"/>
          <w:spacing w:val="0"/>
          <w:position w:val="0"/>
          <w:sz w:val="30"/>
          <w:shd w:fill="auto" w:val="clear"/>
        </w:rPr>
      </w:pPr>
      <w:r>
        <w:rPr>
          <w:rFonts w:ascii="Garamond" w:hAnsi="Garamond" w:cs="Garamond" w:eastAsia="Garamond"/>
          <w:color w:val="000000"/>
          <w:spacing w:val="0"/>
          <w:position w:val="0"/>
          <w:sz w:val="30"/>
          <w:shd w:fill="auto" w:val="clear"/>
        </w:rPr>
        <w:t xml:space="preserve">Compensa le spese di giudizio della presente fase cautelare.</w:t>
      </w:r>
    </w:p>
    <w:p>
      <w:pPr>
        <w:spacing w:before="0" w:after="0" w:line="520"/>
        <w:ind w:right="0" w:left="0" w:firstLine="0"/>
        <w:jc w:val="both"/>
        <w:rPr>
          <w:rFonts w:ascii="Garamond" w:hAnsi="Garamond" w:cs="Garamond" w:eastAsia="Garamond"/>
          <w:color w:val="000000"/>
          <w:spacing w:val="0"/>
          <w:position w:val="0"/>
          <w:sz w:val="30"/>
          <w:shd w:fill="auto" w:val="clear"/>
        </w:rPr>
      </w:pPr>
      <w:r>
        <w:rPr>
          <w:rFonts w:ascii="Garamond" w:hAnsi="Garamond" w:cs="Garamond" w:eastAsia="Garamond"/>
          <w:color w:val="000000"/>
          <w:spacing w:val="0"/>
          <w:position w:val="0"/>
          <w:sz w:val="30"/>
          <w:shd w:fill="auto" w:val="clear"/>
        </w:rPr>
        <w:t xml:space="preserve">La presente ordinanza sarà eseguita dall'Amministrazione ed è depositata presso la segreteria del tribunale che provvederà a darne comunicazione alle parti.</w:t>
      </w:r>
    </w:p>
    <w:p>
      <w:pPr>
        <w:spacing w:before="0" w:after="0" w:line="520"/>
        <w:ind w:right="0" w:left="0" w:firstLine="0"/>
        <w:jc w:val="both"/>
        <w:rPr>
          <w:rFonts w:ascii="Garamond" w:hAnsi="Garamond" w:cs="Garamond" w:eastAsia="Garamond"/>
          <w:color w:val="000000"/>
          <w:spacing w:val="0"/>
          <w:position w:val="0"/>
          <w:sz w:val="30"/>
          <w:shd w:fill="auto" w:val="clear"/>
        </w:rPr>
      </w:pPr>
      <w:r>
        <w:rPr>
          <w:rFonts w:ascii="Garamond" w:hAnsi="Garamond" w:cs="Garamond" w:eastAsia="Garamond"/>
          <w:color w:val="000000"/>
          <w:spacing w:val="0"/>
          <w:position w:val="0"/>
          <w:sz w:val="30"/>
          <w:shd w:fill="auto" w:val="clear"/>
        </w:rPr>
        <w:t xml:space="preserve">Così deciso in Roma nella camera di consiglio del giorno 8 maggio 2013 con l'intervento dei magistrati:</w:t>
      </w:r>
    </w:p>
    <w:p>
      <w:pPr>
        <w:spacing w:before="0" w:after="0" w:line="520"/>
        <w:ind w:right="0" w:left="0" w:firstLine="567"/>
        <w:jc w:val="left"/>
        <w:rPr>
          <w:rFonts w:ascii="Garamond" w:hAnsi="Garamond" w:cs="Garamond" w:eastAsia="Garamond"/>
          <w:color w:val="000000"/>
          <w:spacing w:val="0"/>
          <w:position w:val="0"/>
          <w:sz w:val="30"/>
          <w:shd w:fill="auto" w:val="clear"/>
        </w:rPr>
      </w:pPr>
      <w:r>
        <w:rPr>
          <w:rFonts w:ascii="Garamond" w:hAnsi="Garamond" w:cs="Garamond" w:eastAsia="Garamond"/>
          <w:color w:val="000000"/>
          <w:spacing w:val="0"/>
          <w:position w:val="0"/>
          <w:sz w:val="30"/>
          <w:shd w:fill="auto" w:val="clear"/>
        </w:rPr>
        <w:t xml:space="preserve">Franco Bianchi, Presidente</w:t>
      </w:r>
    </w:p>
    <w:p>
      <w:pPr>
        <w:spacing w:before="0" w:after="0" w:line="520"/>
        <w:ind w:right="0" w:left="0" w:firstLine="567"/>
        <w:jc w:val="left"/>
        <w:rPr>
          <w:rFonts w:ascii="Garamond" w:hAnsi="Garamond" w:cs="Garamond" w:eastAsia="Garamond"/>
          <w:color w:val="000000"/>
          <w:spacing w:val="0"/>
          <w:position w:val="0"/>
          <w:sz w:val="30"/>
          <w:shd w:fill="auto" w:val="clear"/>
        </w:rPr>
      </w:pPr>
      <w:r>
        <w:rPr>
          <w:rFonts w:ascii="Garamond" w:hAnsi="Garamond" w:cs="Garamond" w:eastAsia="Garamond"/>
          <w:color w:val="000000"/>
          <w:spacing w:val="0"/>
          <w:position w:val="0"/>
          <w:sz w:val="30"/>
          <w:shd w:fill="auto" w:val="clear"/>
        </w:rPr>
        <w:t xml:space="preserve">Guglielmo Passarelli Di Napoli, Consigliere</w:t>
      </w:r>
    </w:p>
    <w:p>
      <w:pPr>
        <w:spacing w:before="0" w:after="0" w:line="520"/>
        <w:ind w:right="0" w:left="0" w:firstLine="567"/>
        <w:jc w:val="left"/>
        <w:rPr>
          <w:rFonts w:ascii="Garamond" w:hAnsi="Garamond" w:cs="Garamond" w:eastAsia="Garamond"/>
          <w:color w:val="000000"/>
          <w:spacing w:val="0"/>
          <w:position w:val="0"/>
          <w:sz w:val="30"/>
          <w:shd w:fill="auto" w:val="clear"/>
        </w:rPr>
      </w:pPr>
      <w:r>
        <w:rPr>
          <w:rFonts w:ascii="Garamond" w:hAnsi="Garamond" w:cs="Garamond" w:eastAsia="Garamond"/>
          <w:color w:val="000000"/>
          <w:spacing w:val="0"/>
          <w:position w:val="0"/>
          <w:sz w:val="30"/>
          <w:shd w:fill="auto" w:val="clear"/>
        </w:rPr>
        <w:t xml:space="preserve">Maria Grazia Vivarelli, Consigliere, Estensore</w:t>
      </w:r>
    </w:p>
    <w:tbl>
      <w:tblPr/>
      <w:tblGrid>
        <w:gridCol w:w="3883"/>
        <w:gridCol w:w="2750"/>
        <w:gridCol w:w="4296"/>
      </w:tblGrid>
      <w:tr>
        <w:trPr>
          <w:trHeight w:val="1" w:hRule="atLeast"/>
          <w:jc w:val="left"/>
        </w:trPr>
        <w:tc>
          <w:tcPr>
            <w:tcW w:w="3883" w:type="dxa"/>
            <w:tcBorders>
              <w:top w:val="single" w:color="000000" w:sz="0"/>
              <w:left w:val="single" w:color="000000" w:sz="0"/>
              <w:bottom w:val="single" w:color="000000" w:sz="0"/>
              <w:right w:val="single" w:color="000000" w:sz="0"/>
            </w:tcBorders>
            <w:shd w:color="000000" w:fill="ffffff" w:val="clear"/>
            <w:tcMar>
              <w:left w:w="14" w:type="dxa"/>
              <w:right w:w="14" w:type="dxa"/>
            </w:tcMar>
            <w:vAlign w:val="center"/>
          </w:tcPr>
          <w:p>
            <w:pPr>
              <w:spacing w:before="0" w:after="0" w:line="240"/>
              <w:ind w:right="0" w:left="0" w:firstLine="0"/>
              <w:jc w:val="center"/>
              <w:rPr>
                <w:color w:val="auto"/>
                <w:spacing w:val="0"/>
                <w:position w:val="0"/>
                <w:shd w:fill="auto" w:val="clear"/>
              </w:rPr>
            </w:pPr>
            <w:r>
              <w:rPr>
                <w:rFonts w:ascii="Times New Roman" w:hAnsi="Times New Roman" w:cs="Times New Roman" w:eastAsia="Times New Roman"/>
                <w:b/>
                <w:color w:val="auto"/>
                <w:spacing w:val="0"/>
                <w:position w:val="0"/>
                <w:sz w:val="28"/>
                <w:shd w:fill="auto" w:val="clear"/>
              </w:rPr>
              <w:t xml:space="preserve"> </w:t>
            </w:r>
          </w:p>
        </w:tc>
        <w:tc>
          <w:tcPr>
            <w:tcW w:w="2750" w:type="dxa"/>
            <w:tcBorders>
              <w:top w:val="single" w:color="000000" w:sz="0"/>
              <w:left w:val="single" w:color="000000" w:sz="0"/>
              <w:bottom w:val="single" w:color="000000" w:sz="0"/>
              <w:right w:val="single" w:color="000000" w:sz="0"/>
            </w:tcBorders>
            <w:shd w:color="000000" w:fill="ffffff" w:val="clear"/>
            <w:tcMar>
              <w:left w:w="14" w:type="dxa"/>
              <w:right w:w="14" w:type="dxa"/>
            </w:tcMar>
            <w:vAlign w:val="center"/>
          </w:tcPr>
          <w:p>
            <w:pPr>
              <w:spacing w:before="0" w:after="0" w:line="240"/>
              <w:ind w:right="0" w:left="0" w:firstLine="0"/>
              <w:jc w:val="center"/>
              <w:rPr>
                <w:rFonts w:ascii="Calibri" w:hAnsi="Calibri" w:cs="Calibri" w:eastAsia="Calibri"/>
                <w:color w:val="auto"/>
                <w:spacing w:val="0"/>
                <w:position w:val="0"/>
                <w:sz w:val="22"/>
                <w:shd w:fill="auto" w:val="clear"/>
              </w:rPr>
            </w:pPr>
          </w:p>
        </w:tc>
        <w:tc>
          <w:tcPr>
            <w:tcW w:w="4296" w:type="dxa"/>
            <w:tcBorders>
              <w:top w:val="single" w:color="000000" w:sz="0"/>
              <w:left w:val="single" w:color="000000" w:sz="0"/>
              <w:bottom w:val="single" w:color="000000" w:sz="0"/>
              <w:right w:val="single" w:color="000000" w:sz="0"/>
            </w:tcBorders>
            <w:shd w:color="000000" w:fill="ffffff" w:val="clear"/>
            <w:tcMar>
              <w:left w:w="14" w:type="dxa"/>
              <w:right w:w="14" w:type="dxa"/>
            </w:tcMar>
            <w:vAlign w:val="center"/>
          </w:tcPr>
          <w:p>
            <w:pPr>
              <w:spacing w:before="0" w:after="0" w:line="240"/>
              <w:ind w:right="0" w:left="0" w:firstLine="0"/>
              <w:jc w:val="center"/>
              <w:rPr>
                <w:rFonts w:ascii="Calibri" w:hAnsi="Calibri" w:cs="Calibri" w:eastAsia="Calibri"/>
                <w:color w:val="auto"/>
                <w:spacing w:val="0"/>
                <w:position w:val="0"/>
                <w:sz w:val="22"/>
                <w:shd w:fill="auto" w:val="clear"/>
              </w:rPr>
            </w:pPr>
          </w:p>
        </w:tc>
      </w:tr>
      <w:tr>
        <w:trPr>
          <w:trHeight w:val="1" w:hRule="atLeast"/>
          <w:jc w:val="left"/>
        </w:trPr>
        <w:tc>
          <w:tcPr>
            <w:tcW w:w="3883" w:type="dxa"/>
            <w:tcBorders>
              <w:top w:val="single" w:color="000000" w:sz="0"/>
              <w:left w:val="single" w:color="000000" w:sz="0"/>
              <w:bottom w:val="single" w:color="000000" w:sz="0"/>
              <w:right w:val="single" w:color="000000" w:sz="0"/>
            </w:tcBorders>
            <w:shd w:color="000000" w:fill="ffffff" w:val="clear"/>
            <w:tcMar>
              <w:left w:w="14" w:type="dxa"/>
              <w:right w:w="14" w:type="dxa"/>
            </w:tcMar>
            <w:vAlign w:val="center"/>
          </w:tcPr>
          <w:p>
            <w:pPr>
              <w:spacing w:before="0" w:after="0" w:line="240"/>
              <w:ind w:right="0" w:left="0" w:firstLine="0"/>
              <w:jc w:val="center"/>
              <w:rPr>
                <w:color w:val="auto"/>
                <w:spacing w:val="0"/>
                <w:position w:val="0"/>
                <w:shd w:fill="auto" w:val="clear"/>
              </w:rPr>
            </w:pPr>
            <w:r>
              <w:rPr>
                <w:rFonts w:ascii="Times New Roman" w:hAnsi="Times New Roman" w:cs="Times New Roman" w:eastAsia="Times New Roman"/>
                <w:b/>
                <w:color w:val="auto"/>
                <w:spacing w:val="0"/>
                <w:position w:val="0"/>
                <w:sz w:val="28"/>
                <w:shd w:fill="auto" w:val="clear"/>
              </w:rPr>
              <w:t xml:space="preserve"> </w:t>
            </w:r>
          </w:p>
        </w:tc>
        <w:tc>
          <w:tcPr>
            <w:tcW w:w="2750" w:type="dxa"/>
            <w:tcBorders>
              <w:top w:val="single" w:color="000000" w:sz="0"/>
              <w:left w:val="single" w:color="000000" w:sz="0"/>
              <w:bottom w:val="single" w:color="000000" w:sz="0"/>
              <w:right w:val="single" w:color="000000" w:sz="0"/>
            </w:tcBorders>
            <w:shd w:color="000000" w:fill="ffffff" w:val="clear"/>
            <w:tcMar>
              <w:left w:w="14" w:type="dxa"/>
              <w:right w:w="14" w:type="dxa"/>
            </w:tcMar>
            <w:vAlign w:val="center"/>
          </w:tcPr>
          <w:p>
            <w:pPr>
              <w:spacing w:before="0" w:after="0" w:line="240"/>
              <w:ind w:right="0" w:left="0" w:firstLine="0"/>
              <w:jc w:val="center"/>
              <w:rPr>
                <w:rFonts w:ascii="Calibri" w:hAnsi="Calibri" w:cs="Calibri" w:eastAsia="Calibri"/>
                <w:color w:val="auto"/>
                <w:spacing w:val="0"/>
                <w:position w:val="0"/>
                <w:sz w:val="22"/>
                <w:shd w:fill="auto" w:val="clear"/>
              </w:rPr>
            </w:pPr>
          </w:p>
        </w:tc>
        <w:tc>
          <w:tcPr>
            <w:tcW w:w="4296" w:type="dxa"/>
            <w:tcBorders>
              <w:top w:val="single" w:color="000000" w:sz="0"/>
              <w:left w:val="single" w:color="000000" w:sz="0"/>
              <w:bottom w:val="single" w:color="000000" w:sz="0"/>
              <w:right w:val="single" w:color="000000" w:sz="0"/>
            </w:tcBorders>
            <w:shd w:color="000000" w:fill="ffffff" w:val="clear"/>
            <w:tcMar>
              <w:left w:w="14" w:type="dxa"/>
              <w:right w:w="14" w:type="dxa"/>
            </w:tcMar>
            <w:vAlign w:val="center"/>
          </w:tcPr>
          <w:p>
            <w:pPr>
              <w:spacing w:before="0" w:after="0" w:line="240"/>
              <w:ind w:right="0" w:left="0" w:firstLine="0"/>
              <w:jc w:val="center"/>
              <w:rPr>
                <w:rFonts w:ascii="Calibri" w:hAnsi="Calibri" w:cs="Calibri" w:eastAsia="Calibri"/>
                <w:color w:val="auto"/>
                <w:spacing w:val="0"/>
                <w:position w:val="0"/>
                <w:sz w:val="22"/>
                <w:shd w:fill="auto" w:val="clear"/>
              </w:rPr>
            </w:pPr>
          </w:p>
        </w:tc>
      </w:tr>
      <w:tr>
        <w:trPr>
          <w:trHeight w:val="1" w:hRule="atLeast"/>
          <w:jc w:val="left"/>
        </w:trPr>
        <w:tc>
          <w:tcPr>
            <w:tcW w:w="3883" w:type="dxa"/>
            <w:tcBorders>
              <w:top w:val="single" w:color="000000" w:sz="0"/>
              <w:left w:val="single" w:color="000000" w:sz="0"/>
              <w:bottom w:val="single" w:color="000000" w:sz="0"/>
              <w:right w:val="single" w:color="000000" w:sz="0"/>
            </w:tcBorders>
            <w:shd w:color="000000" w:fill="ffffff" w:val="clear"/>
            <w:tcMar>
              <w:left w:w="14" w:type="dxa"/>
              <w:right w:w="14" w:type="dxa"/>
            </w:tcMar>
            <w:vAlign w:val="center"/>
          </w:tcPr>
          <w:p>
            <w:pPr>
              <w:spacing w:before="0" w:after="0" w:line="240"/>
              <w:ind w:right="0" w:left="0" w:firstLine="0"/>
              <w:jc w:val="center"/>
              <w:rPr>
                <w:color w:val="auto"/>
                <w:spacing w:val="0"/>
                <w:position w:val="0"/>
                <w:shd w:fill="auto" w:val="clear"/>
              </w:rPr>
            </w:pPr>
            <w:r>
              <w:rPr>
                <w:rFonts w:ascii="Times New Roman" w:hAnsi="Times New Roman" w:cs="Times New Roman" w:eastAsia="Times New Roman"/>
                <w:b/>
                <w:color w:val="auto"/>
                <w:spacing w:val="0"/>
                <w:position w:val="0"/>
                <w:sz w:val="28"/>
                <w:shd w:fill="auto" w:val="clear"/>
              </w:rPr>
              <w:t xml:space="preserve">L'ESTENSORE</w:t>
            </w:r>
          </w:p>
        </w:tc>
        <w:tc>
          <w:tcPr>
            <w:tcW w:w="2750" w:type="dxa"/>
            <w:tcBorders>
              <w:top w:val="single" w:color="000000" w:sz="0"/>
              <w:left w:val="single" w:color="000000" w:sz="0"/>
              <w:bottom w:val="single" w:color="000000" w:sz="0"/>
              <w:right w:val="single" w:color="000000" w:sz="0"/>
            </w:tcBorders>
            <w:shd w:color="000000" w:fill="ffffff" w:val="clear"/>
            <w:tcMar>
              <w:left w:w="14" w:type="dxa"/>
              <w:right w:w="14" w:type="dxa"/>
            </w:tcMar>
            <w:vAlign w:val="center"/>
          </w:tcPr>
          <w:p>
            <w:pPr>
              <w:spacing w:before="0" w:after="0" w:line="240"/>
              <w:ind w:right="0" w:left="0" w:firstLine="0"/>
              <w:jc w:val="center"/>
              <w:rPr>
                <w:rFonts w:ascii="Calibri" w:hAnsi="Calibri" w:cs="Calibri" w:eastAsia="Calibri"/>
                <w:color w:val="auto"/>
                <w:spacing w:val="0"/>
                <w:position w:val="0"/>
                <w:sz w:val="22"/>
                <w:shd w:fill="auto" w:val="clear"/>
              </w:rPr>
            </w:pPr>
          </w:p>
        </w:tc>
        <w:tc>
          <w:tcPr>
            <w:tcW w:w="4296" w:type="dxa"/>
            <w:tcBorders>
              <w:top w:val="single" w:color="000000" w:sz="0"/>
              <w:left w:val="single" w:color="000000" w:sz="0"/>
              <w:bottom w:val="single" w:color="000000" w:sz="0"/>
              <w:right w:val="single" w:color="000000" w:sz="0"/>
            </w:tcBorders>
            <w:shd w:color="000000" w:fill="ffffff" w:val="clear"/>
            <w:tcMar>
              <w:left w:w="14" w:type="dxa"/>
              <w:right w:w="14" w:type="dxa"/>
            </w:tcMar>
            <w:vAlign w:val="center"/>
          </w:tcPr>
          <w:p>
            <w:pPr>
              <w:spacing w:before="0" w:after="0" w:line="240"/>
              <w:ind w:right="0" w:left="0" w:firstLine="0"/>
              <w:jc w:val="center"/>
              <w:rPr>
                <w:color w:val="auto"/>
                <w:spacing w:val="0"/>
                <w:position w:val="0"/>
                <w:shd w:fill="auto" w:val="clear"/>
              </w:rPr>
            </w:pPr>
            <w:r>
              <w:rPr>
                <w:rFonts w:ascii="Times New Roman" w:hAnsi="Times New Roman" w:cs="Times New Roman" w:eastAsia="Times New Roman"/>
                <w:b/>
                <w:color w:val="auto"/>
                <w:spacing w:val="0"/>
                <w:position w:val="0"/>
                <w:sz w:val="28"/>
                <w:shd w:fill="auto" w:val="clear"/>
              </w:rPr>
              <w:t xml:space="preserve">IL PRESIDENTE</w:t>
            </w:r>
          </w:p>
        </w:tc>
      </w:tr>
      <w:tr>
        <w:trPr>
          <w:trHeight w:val="1" w:hRule="atLeast"/>
          <w:jc w:val="left"/>
        </w:trPr>
        <w:tc>
          <w:tcPr>
            <w:tcW w:w="3883" w:type="dxa"/>
            <w:tcBorders>
              <w:top w:val="single" w:color="000000" w:sz="0"/>
              <w:left w:val="single" w:color="000000" w:sz="0"/>
              <w:bottom w:val="single" w:color="000000" w:sz="0"/>
              <w:right w:val="single" w:color="000000" w:sz="0"/>
            </w:tcBorders>
            <w:shd w:color="000000" w:fill="ffffff" w:val="clear"/>
            <w:tcMar>
              <w:left w:w="14" w:type="dxa"/>
              <w:right w:w="14" w:type="dxa"/>
            </w:tcMar>
            <w:vAlign w:val="center"/>
          </w:tcPr>
          <w:p>
            <w:pPr>
              <w:spacing w:before="0" w:after="0" w:line="240"/>
              <w:ind w:right="0" w:left="0" w:firstLine="0"/>
              <w:jc w:val="center"/>
              <w:rPr>
                <w:color w:val="auto"/>
                <w:spacing w:val="0"/>
                <w:position w:val="0"/>
                <w:shd w:fill="auto" w:val="clear"/>
              </w:rPr>
            </w:pPr>
            <w:r>
              <w:rPr>
                <w:rFonts w:ascii="Times New Roman" w:hAnsi="Times New Roman" w:cs="Times New Roman" w:eastAsia="Times New Roman"/>
                <w:b/>
                <w:color w:val="auto"/>
                <w:spacing w:val="0"/>
                <w:position w:val="0"/>
                <w:sz w:val="28"/>
                <w:shd w:fill="auto" w:val="clear"/>
              </w:rPr>
              <w:t xml:space="preserve"> </w:t>
            </w:r>
          </w:p>
        </w:tc>
        <w:tc>
          <w:tcPr>
            <w:tcW w:w="2750" w:type="dxa"/>
            <w:tcBorders>
              <w:top w:val="single" w:color="000000" w:sz="0"/>
              <w:left w:val="single" w:color="000000" w:sz="0"/>
              <w:bottom w:val="single" w:color="000000" w:sz="0"/>
              <w:right w:val="single" w:color="000000" w:sz="0"/>
            </w:tcBorders>
            <w:shd w:color="000000" w:fill="ffffff" w:val="clear"/>
            <w:tcMar>
              <w:left w:w="14" w:type="dxa"/>
              <w:right w:w="14" w:type="dxa"/>
            </w:tcMar>
            <w:vAlign w:val="center"/>
          </w:tcPr>
          <w:p>
            <w:pPr>
              <w:spacing w:before="0" w:after="0" w:line="240"/>
              <w:ind w:right="0" w:left="0" w:firstLine="0"/>
              <w:jc w:val="center"/>
              <w:rPr>
                <w:rFonts w:ascii="Calibri" w:hAnsi="Calibri" w:cs="Calibri" w:eastAsia="Calibri"/>
                <w:color w:val="auto"/>
                <w:spacing w:val="0"/>
                <w:position w:val="0"/>
                <w:sz w:val="22"/>
                <w:shd w:fill="auto" w:val="clear"/>
              </w:rPr>
            </w:pPr>
          </w:p>
        </w:tc>
        <w:tc>
          <w:tcPr>
            <w:tcW w:w="4296" w:type="dxa"/>
            <w:tcBorders>
              <w:top w:val="single" w:color="000000" w:sz="0"/>
              <w:left w:val="single" w:color="000000" w:sz="0"/>
              <w:bottom w:val="single" w:color="000000" w:sz="0"/>
              <w:right w:val="single" w:color="000000" w:sz="0"/>
            </w:tcBorders>
            <w:shd w:color="000000" w:fill="ffffff" w:val="clear"/>
            <w:tcMar>
              <w:left w:w="14" w:type="dxa"/>
              <w:right w:w="14" w:type="dxa"/>
            </w:tcMar>
            <w:vAlign w:val="center"/>
          </w:tcPr>
          <w:p>
            <w:pPr>
              <w:spacing w:before="0" w:after="0" w:line="240"/>
              <w:ind w:right="0" w:left="0" w:firstLine="0"/>
              <w:jc w:val="center"/>
              <w:rPr>
                <w:rFonts w:ascii="Calibri" w:hAnsi="Calibri" w:cs="Calibri" w:eastAsia="Calibri"/>
                <w:color w:val="auto"/>
                <w:spacing w:val="0"/>
                <w:position w:val="0"/>
                <w:sz w:val="22"/>
                <w:shd w:fill="auto" w:val="clear"/>
              </w:rPr>
            </w:pPr>
          </w:p>
        </w:tc>
      </w:tr>
      <w:tr>
        <w:trPr>
          <w:trHeight w:val="1" w:hRule="atLeast"/>
          <w:jc w:val="left"/>
        </w:trPr>
        <w:tc>
          <w:tcPr>
            <w:tcW w:w="3883" w:type="dxa"/>
            <w:tcBorders>
              <w:top w:val="single" w:color="000000" w:sz="0"/>
              <w:left w:val="single" w:color="000000" w:sz="0"/>
              <w:bottom w:val="single" w:color="000000" w:sz="0"/>
              <w:right w:val="single" w:color="000000" w:sz="0"/>
            </w:tcBorders>
            <w:shd w:color="000000" w:fill="ffffff" w:val="clear"/>
            <w:tcMar>
              <w:left w:w="14" w:type="dxa"/>
              <w:right w:w="14" w:type="dxa"/>
            </w:tcMar>
            <w:vAlign w:val="center"/>
          </w:tcPr>
          <w:p>
            <w:pPr>
              <w:spacing w:before="0" w:after="0" w:line="240"/>
              <w:ind w:right="0" w:left="0" w:firstLine="0"/>
              <w:jc w:val="center"/>
              <w:rPr>
                <w:color w:val="auto"/>
                <w:spacing w:val="0"/>
                <w:position w:val="0"/>
                <w:shd w:fill="auto" w:val="clear"/>
              </w:rPr>
            </w:pPr>
            <w:r>
              <w:rPr>
                <w:rFonts w:ascii="Times New Roman" w:hAnsi="Times New Roman" w:cs="Times New Roman" w:eastAsia="Times New Roman"/>
                <w:b/>
                <w:color w:val="auto"/>
                <w:spacing w:val="0"/>
                <w:position w:val="0"/>
                <w:sz w:val="28"/>
                <w:shd w:fill="auto" w:val="clear"/>
              </w:rPr>
              <w:t xml:space="preserve"> </w:t>
            </w:r>
          </w:p>
        </w:tc>
        <w:tc>
          <w:tcPr>
            <w:tcW w:w="2750" w:type="dxa"/>
            <w:tcBorders>
              <w:top w:val="single" w:color="000000" w:sz="0"/>
              <w:left w:val="single" w:color="000000" w:sz="0"/>
              <w:bottom w:val="single" w:color="000000" w:sz="0"/>
              <w:right w:val="single" w:color="000000" w:sz="0"/>
            </w:tcBorders>
            <w:shd w:color="000000" w:fill="ffffff" w:val="clear"/>
            <w:tcMar>
              <w:left w:w="14" w:type="dxa"/>
              <w:right w:w="14" w:type="dxa"/>
            </w:tcMar>
            <w:vAlign w:val="center"/>
          </w:tcPr>
          <w:p>
            <w:pPr>
              <w:spacing w:before="0" w:after="0" w:line="240"/>
              <w:ind w:right="0" w:left="0" w:firstLine="0"/>
              <w:jc w:val="center"/>
              <w:rPr>
                <w:rFonts w:ascii="Calibri" w:hAnsi="Calibri" w:cs="Calibri" w:eastAsia="Calibri"/>
                <w:color w:val="auto"/>
                <w:spacing w:val="0"/>
                <w:position w:val="0"/>
                <w:sz w:val="22"/>
                <w:shd w:fill="auto" w:val="clear"/>
              </w:rPr>
            </w:pPr>
          </w:p>
        </w:tc>
        <w:tc>
          <w:tcPr>
            <w:tcW w:w="4296" w:type="dxa"/>
            <w:tcBorders>
              <w:top w:val="single" w:color="000000" w:sz="0"/>
              <w:left w:val="single" w:color="000000" w:sz="0"/>
              <w:bottom w:val="single" w:color="000000" w:sz="0"/>
              <w:right w:val="single" w:color="000000" w:sz="0"/>
            </w:tcBorders>
            <w:shd w:color="000000" w:fill="ffffff" w:val="clear"/>
            <w:tcMar>
              <w:left w:w="14" w:type="dxa"/>
              <w:right w:w="14" w:type="dxa"/>
            </w:tcMar>
            <w:vAlign w:val="center"/>
          </w:tcPr>
          <w:p>
            <w:pPr>
              <w:spacing w:before="0" w:after="0" w:line="240"/>
              <w:ind w:right="0" w:left="0" w:firstLine="0"/>
              <w:jc w:val="center"/>
              <w:rPr>
                <w:rFonts w:ascii="Calibri" w:hAnsi="Calibri" w:cs="Calibri" w:eastAsia="Calibri"/>
                <w:color w:val="auto"/>
                <w:spacing w:val="0"/>
                <w:position w:val="0"/>
                <w:sz w:val="22"/>
                <w:shd w:fill="auto" w:val="clear"/>
              </w:rPr>
            </w:pPr>
          </w:p>
        </w:tc>
      </w:tr>
      <w:tr>
        <w:trPr>
          <w:trHeight w:val="1" w:hRule="atLeast"/>
          <w:jc w:val="left"/>
        </w:trPr>
        <w:tc>
          <w:tcPr>
            <w:tcW w:w="3883" w:type="dxa"/>
            <w:tcBorders>
              <w:top w:val="single" w:color="000000" w:sz="0"/>
              <w:left w:val="single" w:color="000000" w:sz="0"/>
              <w:bottom w:val="single" w:color="000000" w:sz="0"/>
              <w:right w:val="single" w:color="000000" w:sz="0"/>
            </w:tcBorders>
            <w:shd w:color="000000" w:fill="ffffff" w:val="clear"/>
            <w:tcMar>
              <w:left w:w="14" w:type="dxa"/>
              <w:right w:w="14" w:type="dxa"/>
            </w:tcMar>
            <w:vAlign w:val="center"/>
          </w:tcPr>
          <w:p>
            <w:pPr>
              <w:spacing w:before="0" w:after="0" w:line="240"/>
              <w:ind w:right="0" w:left="0" w:firstLine="0"/>
              <w:jc w:val="center"/>
              <w:rPr>
                <w:color w:val="auto"/>
                <w:spacing w:val="0"/>
                <w:position w:val="0"/>
                <w:shd w:fill="auto" w:val="clear"/>
              </w:rPr>
            </w:pPr>
            <w:r>
              <w:rPr>
                <w:rFonts w:ascii="Times New Roman" w:hAnsi="Times New Roman" w:cs="Times New Roman" w:eastAsia="Times New Roman"/>
                <w:b/>
                <w:color w:val="auto"/>
                <w:spacing w:val="0"/>
                <w:position w:val="0"/>
                <w:sz w:val="28"/>
                <w:shd w:fill="auto" w:val="clear"/>
              </w:rPr>
              <w:t xml:space="preserve"> </w:t>
            </w:r>
          </w:p>
        </w:tc>
        <w:tc>
          <w:tcPr>
            <w:tcW w:w="2750" w:type="dxa"/>
            <w:tcBorders>
              <w:top w:val="single" w:color="000000" w:sz="0"/>
              <w:left w:val="single" w:color="000000" w:sz="0"/>
              <w:bottom w:val="single" w:color="000000" w:sz="0"/>
              <w:right w:val="single" w:color="000000" w:sz="0"/>
            </w:tcBorders>
            <w:shd w:color="000000" w:fill="ffffff" w:val="clear"/>
            <w:tcMar>
              <w:left w:w="14" w:type="dxa"/>
              <w:right w:w="14" w:type="dxa"/>
            </w:tcMar>
            <w:vAlign w:val="center"/>
          </w:tcPr>
          <w:p>
            <w:pPr>
              <w:spacing w:before="0" w:after="0" w:line="240"/>
              <w:ind w:right="0" w:left="0" w:firstLine="0"/>
              <w:jc w:val="center"/>
              <w:rPr>
                <w:rFonts w:ascii="Calibri" w:hAnsi="Calibri" w:cs="Calibri" w:eastAsia="Calibri"/>
                <w:color w:val="auto"/>
                <w:spacing w:val="0"/>
                <w:position w:val="0"/>
                <w:sz w:val="22"/>
                <w:shd w:fill="auto" w:val="clear"/>
              </w:rPr>
            </w:pPr>
          </w:p>
        </w:tc>
        <w:tc>
          <w:tcPr>
            <w:tcW w:w="4296" w:type="dxa"/>
            <w:tcBorders>
              <w:top w:val="single" w:color="000000" w:sz="0"/>
              <w:left w:val="single" w:color="000000" w:sz="0"/>
              <w:bottom w:val="single" w:color="000000" w:sz="0"/>
              <w:right w:val="single" w:color="000000" w:sz="0"/>
            </w:tcBorders>
            <w:shd w:color="000000" w:fill="ffffff" w:val="clear"/>
            <w:tcMar>
              <w:left w:w="14" w:type="dxa"/>
              <w:right w:w="14" w:type="dxa"/>
            </w:tcMar>
            <w:vAlign w:val="center"/>
          </w:tcPr>
          <w:p>
            <w:pPr>
              <w:spacing w:before="0" w:after="0" w:line="240"/>
              <w:ind w:right="0" w:left="0" w:firstLine="0"/>
              <w:jc w:val="center"/>
              <w:rPr>
                <w:rFonts w:ascii="Calibri" w:hAnsi="Calibri" w:cs="Calibri" w:eastAsia="Calibri"/>
                <w:color w:val="auto"/>
                <w:spacing w:val="0"/>
                <w:position w:val="0"/>
                <w:sz w:val="22"/>
                <w:shd w:fill="auto" w:val="clear"/>
              </w:rPr>
            </w:pPr>
          </w:p>
        </w:tc>
      </w:tr>
    </w:tbl>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000000"/>
          <w:spacing w:val="0"/>
          <w:position w:val="0"/>
          <w:sz w:val="27"/>
          <w:shd w:fill="auto" w:val="clear"/>
        </w:rPr>
        <w:br/>
        <w:br/>
      </w:r>
    </w:p>
    <w:p>
      <w:pPr>
        <w:spacing w:before="0" w:after="0" w:line="540"/>
        <w:ind w:right="0" w:left="0" w:firstLine="0"/>
        <w:jc w:val="center"/>
        <w:rPr>
          <w:rFonts w:ascii="Garamond" w:hAnsi="Garamond" w:cs="Garamond" w:eastAsia="Garamond"/>
          <w:color w:val="000000"/>
          <w:spacing w:val="0"/>
          <w:position w:val="0"/>
          <w:sz w:val="30"/>
          <w:shd w:fill="auto" w:val="clear"/>
        </w:rPr>
      </w:pPr>
      <w:r>
        <w:rPr>
          <w:rFonts w:ascii="Garamond" w:hAnsi="Garamond" w:cs="Garamond" w:eastAsia="Garamond"/>
          <w:color w:val="000000"/>
          <w:spacing w:val="0"/>
          <w:position w:val="0"/>
          <w:sz w:val="30"/>
          <w:shd w:fill="auto" w:val="clear"/>
        </w:rPr>
        <w:t xml:space="preserve">DEPOSITATA IN SEGRETERIA</w:t>
      </w:r>
    </w:p>
    <w:p>
      <w:pPr>
        <w:spacing w:before="0" w:after="0" w:line="540"/>
        <w:ind w:right="0" w:left="0" w:firstLine="0"/>
        <w:jc w:val="center"/>
        <w:rPr>
          <w:rFonts w:ascii="Garamond" w:hAnsi="Garamond" w:cs="Garamond" w:eastAsia="Garamond"/>
          <w:color w:val="000000"/>
          <w:spacing w:val="0"/>
          <w:position w:val="0"/>
          <w:sz w:val="30"/>
          <w:shd w:fill="auto" w:val="clear"/>
        </w:rPr>
      </w:pPr>
      <w:r>
        <w:rPr>
          <w:rFonts w:ascii="Garamond" w:hAnsi="Garamond" w:cs="Garamond" w:eastAsia="Garamond"/>
          <w:color w:val="000000"/>
          <w:spacing w:val="0"/>
          <w:position w:val="0"/>
          <w:sz w:val="30"/>
          <w:shd w:fill="auto" w:val="clear"/>
        </w:rPr>
        <w:t xml:space="preserve">Il 09/05/2013</w:t>
      </w:r>
    </w:p>
    <w:p>
      <w:pPr>
        <w:spacing w:before="0" w:after="0" w:line="540"/>
        <w:ind w:right="0" w:left="0" w:firstLine="0"/>
        <w:jc w:val="center"/>
        <w:rPr>
          <w:rFonts w:ascii="Garamond" w:hAnsi="Garamond" w:cs="Garamond" w:eastAsia="Garamond"/>
          <w:color w:val="000000"/>
          <w:spacing w:val="0"/>
          <w:position w:val="0"/>
          <w:sz w:val="30"/>
          <w:shd w:fill="auto" w:val="clear"/>
        </w:rPr>
      </w:pPr>
      <w:r>
        <w:rPr>
          <w:rFonts w:ascii="Garamond" w:hAnsi="Garamond" w:cs="Garamond" w:eastAsia="Garamond"/>
          <w:color w:val="000000"/>
          <w:spacing w:val="0"/>
          <w:position w:val="0"/>
          <w:sz w:val="30"/>
          <w:shd w:fill="auto" w:val="clear"/>
        </w:rPr>
        <w:t xml:space="preserve">IL SEGRETARIO</w:t>
      </w:r>
    </w:p>
    <w:p>
      <w:pPr>
        <w:spacing w:before="0" w:after="0" w:line="540"/>
        <w:ind w:right="0" w:left="0" w:firstLine="0"/>
        <w:jc w:val="center"/>
        <w:rPr>
          <w:rFonts w:ascii="Garamond" w:hAnsi="Garamond" w:cs="Garamond" w:eastAsia="Garamond"/>
          <w:color w:val="000000"/>
          <w:spacing w:val="0"/>
          <w:position w:val="0"/>
          <w:sz w:val="30"/>
          <w:shd w:fill="auto" w:val="clear"/>
        </w:rPr>
      </w:pPr>
      <w:r>
        <w:rPr>
          <w:rFonts w:ascii="Garamond" w:hAnsi="Garamond" w:cs="Garamond" w:eastAsia="Garamond"/>
          <w:color w:val="000000"/>
          <w:spacing w:val="0"/>
          <w:position w:val="0"/>
          <w:sz w:val="30"/>
          <w:shd w:fill="auto" w:val="clear"/>
        </w:rPr>
        <w:t xml:space="preserve">(Art. 89, co. 3, cod. proc. amm.)</w:t>
      </w:r>
    </w:p>
    <w:p>
      <w:pPr>
        <w:spacing w:before="0" w:after="200" w:line="276"/>
        <w:ind w:right="0" w:left="0" w:firstLine="0"/>
        <w:jc w:val="left"/>
        <w:rPr>
          <w:rFonts w:ascii="Calibri" w:hAnsi="Calibri" w:cs="Calibri" w:eastAsia="Calibri"/>
          <w:color w:val="auto"/>
          <w:spacing w:val="0"/>
          <w:position w:val="0"/>
          <w:sz w:val="22"/>
          <w:shd w:fill="auto" w:val="clear"/>
        </w:rPr>
      </w:pPr>
    </w:p>
  </w:body>
</w:document>
</file>

<file path=word/numbering.xml><?xml version="1.0" encoding="utf-8"?>
<w:numbering xmlns:w="http://schemas.openxmlformats.org/wordprocessingml/2006/main"/>
</file>

<file path=word/styles.xml><?xml version="1.0" encoding="utf-8"?>
<w:styles xmlns:w="http://schemas.openxmlformats.org/wordprocessingml/2006/main"/>
</file>

<file path=word/_rels/document.xml.rels><?xml version="1.0"?><Relationships xmlns="http://schemas.openxmlformats.org/package/2006/relationships"><Relationship Target="embeddings/oleObject0.bin" Id="docRId0" Type="http://schemas.openxmlformats.org/officeDocument/2006/relationships/oleObject"/><Relationship Target="media/image0.wmf" Id="docRId1" Type="http://schemas.openxmlformats.org/officeDocument/2006/relationships/image"/><Relationship Target="numbering.xml" Id="docRId2" Type="http://schemas.openxmlformats.org/officeDocument/2006/relationships/numbering"/><Relationship Target="styles.xml" Id="docRId3" Type="http://schemas.openxmlformats.org/officeDocument/2006/relationships/styles"/></Relationships>
</file>